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0B" w:rsidRDefault="00EB3DC7" w:rsidP="00EB3DC7">
      <w:pPr>
        <w:pStyle w:val="NoSpacing"/>
        <w:rPr>
          <w:b/>
          <w:lang w:val="en-US"/>
        </w:rPr>
      </w:pPr>
      <w:r w:rsidRPr="00DA6ACE">
        <w:rPr>
          <w:b/>
          <w:sz w:val="24"/>
          <w:szCs w:val="24"/>
          <w:lang w:val="en-US"/>
        </w:rPr>
        <w:t>PARISH SAFEGUARDING RISK MANAGEMENT REGISTER</w:t>
      </w:r>
      <w:r w:rsidRPr="00DA6ACE">
        <w:rPr>
          <w:b/>
          <w:sz w:val="24"/>
          <w:szCs w:val="24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DB54A7">
        <w:rPr>
          <w:b/>
          <w:lang w:val="en-US"/>
        </w:rPr>
        <w:tab/>
      </w:r>
      <w:r w:rsidR="00DB54A7">
        <w:rPr>
          <w:b/>
          <w:lang w:val="en-US"/>
        </w:rPr>
        <w:tab/>
      </w:r>
      <w:r w:rsidR="00DB54A7">
        <w:rPr>
          <w:b/>
          <w:lang w:val="en-US"/>
        </w:rPr>
        <w:tab/>
      </w:r>
      <w:r w:rsidR="00DA6ACE">
        <w:rPr>
          <w:b/>
          <w:lang w:val="en-US"/>
        </w:rPr>
        <w:tab/>
      </w:r>
      <w:r w:rsidR="00C75A34" w:rsidRPr="00C75A34">
        <w:rPr>
          <w:i/>
          <w:sz w:val="20"/>
          <w:szCs w:val="20"/>
          <w:lang w:val="en-US"/>
        </w:rPr>
        <w:t>[DSM A Parish SFG RISK REGISTER 14Apr23]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EB3DC7" w:rsidRPr="00DB54A7" w:rsidRDefault="00EB3DC7" w:rsidP="00EB3DC7">
      <w:pPr>
        <w:pStyle w:val="NoSpacing"/>
        <w:rPr>
          <w:lang w:val="en-US"/>
        </w:rPr>
      </w:pPr>
      <w:r>
        <w:rPr>
          <w:b/>
          <w:lang w:val="en-US"/>
        </w:rPr>
        <w:t xml:space="preserve">Name of PARISH: </w:t>
      </w:r>
      <w:r>
        <w:rPr>
          <w:b/>
          <w:lang w:val="en-US"/>
        </w:rPr>
        <w:tab/>
      </w:r>
      <w:r w:rsidRPr="00DB54A7">
        <w:rPr>
          <w:lang w:val="en-US"/>
        </w:rPr>
        <w:t>…………………………………………………………………………</w:t>
      </w:r>
      <w:r w:rsidR="00E42F2B">
        <w:rPr>
          <w:lang w:val="en-US"/>
        </w:rPr>
        <w:tab/>
      </w:r>
      <w:r w:rsidR="00E42F2B">
        <w:rPr>
          <w:lang w:val="en-US"/>
        </w:rPr>
        <w:tab/>
      </w:r>
      <w:r w:rsidR="00E42F2B">
        <w:rPr>
          <w:lang w:val="en-US"/>
        </w:rPr>
        <w:tab/>
      </w:r>
      <w:r w:rsidR="00E42F2B">
        <w:rPr>
          <w:lang w:val="en-US"/>
        </w:rPr>
        <w:tab/>
      </w:r>
      <w:r w:rsidR="00E42F2B">
        <w:rPr>
          <w:lang w:val="en-US"/>
        </w:rPr>
        <w:tab/>
      </w:r>
      <w:r w:rsidR="00E42F2B">
        <w:rPr>
          <w:lang w:val="en-US"/>
        </w:rPr>
        <w:tab/>
      </w:r>
      <w:r w:rsidR="00E42F2B">
        <w:rPr>
          <w:lang w:val="en-US"/>
        </w:rPr>
        <w:tab/>
      </w:r>
      <w:r w:rsidR="00E42F2B">
        <w:rPr>
          <w:lang w:val="en-US"/>
        </w:rPr>
        <w:tab/>
      </w:r>
      <w:r w:rsidR="00E42F2B">
        <w:rPr>
          <w:lang w:val="en-US"/>
        </w:rPr>
        <w:tab/>
      </w:r>
      <w:r w:rsidR="00E42F2B" w:rsidRPr="00E42F2B">
        <w:rPr>
          <w:b/>
          <w:lang w:val="en-US"/>
        </w:rPr>
        <w:t>Insert: Page 62A</w:t>
      </w:r>
    </w:p>
    <w:p w:rsidR="00EB3DC7" w:rsidRDefault="00EB3DC7" w:rsidP="00EB3DC7">
      <w:pPr>
        <w:pStyle w:val="NoSpacing"/>
        <w:rPr>
          <w:b/>
          <w:lang w:val="en-US"/>
        </w:rPr>
      </w:pPr>
      <w:bookmarkStart w:id="0" w:name="_GoBack"/>
      <w:bookmarkEnd w:id="0"/>
    </w:p>
    <w:p w:rsidR="00EB3DC7" w:rsidRPr="00610C94" w:rsidRDefault="00EB3DC7" w:rsidP="00EB3DC7">
      <w:pPr>
        <w:pStyle w:val="NoSpacing"/>
        <w:ind w:right="-643"/>
        <w:rPr>
          <w:i/>
          <w:lang w:val="en-US"/>
        </w:rPr>
      </w:pPr>
      <w:r>
        <w:rPr>
          <w:b/>
          <w:lang w:val="en-US"/>
        </w:rPr>
        <w:t xml:space="preserve">Risk Management Register based on: </w:t>
      </w:r>
      <w:r>
        <w:rPr>
          <w:b/>
          <w:lang w:val="en-US"/>
        </w:rPr>
        <w:tab/>
        <w:t xml:space="preserve">a) Risk Assessment Sheet </w:t>
      </w:r>
      <w:r w:rsidRPr="00EB3DC7">
        <w:rPr>
          <w:lang w:val="en-US"/>
        </w:rPr>
        <w:t>for</w:t>
      </w:r>
      <w:r>
        <w:rPr>
          <w:lang w:val="en-US"/>
        </w:rPr>
        <w:t xml:space="preserve"> </w:t>
      </w:r>
      <w:r w:rsidR="00504D01">
        <w:rPr>
          <w:lang w:val="en-US"/>
        </w:rPr>
        <w:t>an</w:t>
      </w:r>
      <w:r w:rsidRPr="00EB3DC7">
        <w:rPr>
          <w:lang w:val="en-US"/>
        </w:rPr>
        <w:t xml:space="preserve"> activity</w:t>
      </w:r>
      <w:r>
        <w:rPr>
          <w:lang w:val="en-US"/>
        </w:rPr>
        <w:t xml:space="preserve"> or event</w:t>
      </w:r>
      <w:r w:rsidRPr="00EB3DC7">
        <w:rPr>
          <w:lang w:val="en-US"/>
        </w:rPr>
        <w:t xml:space="preserve"> </w:t>
      </w:r>
      <w:r>
        <w:rPr>
          <w:lang w:val="en-US"/>
        </w:rPr>
        <w:tab/>
      </w:r>
      <w:r w:rsidRPr="00610C94">
        <w:rPr>
          <w:i/>
          <w:lang w:val="en-US"/>
        </w:rPr>
        <w:t xml:space="preserve">(Appendix 6 pages 51-52: </w:t>
      </w:r>
      <w:r w:rsidRPr="00610C94">
        <w:rPr>
          <w:b/>
          <w:i/>
          <w:lang w:val="en-US"/>
        </w:rPr>
        <w:t>Risk Management Strategy</w:t>
      </w:r>
      <w:r w:rsidRPr="00610C94">
        <w:rPr>
          <w:i/>
          <w:lang w:val="en-US"/>
        </w:rPr>
        <w:t>)</w:t>
      </w:r>
    </w:p>
    <w:p w:rsidR="00EB3DC7" w:rsidRDefault="00EB3DC7" w:rsidP="00EB3DC7">
      <w:pPr>
        <w:pStyle w:val="NoSpacing"/>
        <w:ind w:right="-92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b) </w:t>
      </w:r>
      <w:r w:rsidRPr="00EB3DC7">
        <w:rPr>
          <w:b/>
          <w:lang w:val="en-US"/>
        </w:rPr>
        <w:t>Risk Management Plan</w:t>
      </w:r>
      <w:r>
        <w:rPr>
          <w:lang w:val="en-US"/>
        </w:rPr>
        <w:t xml:space="preserve"> for the activity or event</w:t>
      </w:r>
      <w:r>
        <w:rPr>
          <w:lang w:val="en-US"/>
        </w:rPr>
        <w:tab/>
      </w:r>
      <w:r w:rsidRPr="00610C94">
        <w:rPr>
          <w:i/>
          <w:lang w:val="en-US"/>
        </w:rPr>
        <w:t xml:space="preserve">(Appendix 7 pages 53-54: </w:t>
      </w:r>
      <w:r w:rsidRPr="00610C94">
        <w:rPr>
          <w:b/>
          <w:i/>
          <w:lang w:val="en-US"/>
        </w:rPr>
        <w:t>Risk Management Strategy</w:t>
      </w:r>
      <w:r w:rsidRPr="00610C94">
        <w:rPr>
          <w:i/>
          <w:lang w:val="en-US"/>
        </w:rPr>
        <w:t>)</w:t>
      </w:r>
    </w:p>
    <w:p w:rsidR="007231A8" w:rsidRDefault="007231A8" w:rsidP="00EB3DC7">
      <w:pPr>
        <w:pStyle w:val="NoSpacing"/>
        <w:ind w:right="-926"/>
        <w:rPr>
          <w:lang w:val="en-US"/>
        </w:rPr>
      </w:pPr>
    </w:p>
    <w:p w:rsidR="000D7906" w:rsidRPr="00521F4C" w:rsidRDefault="000D7906" w:rsidP="00EB3DC7">
      <w:pPr>
        <w:pStyle w:val="NoSpacing"/>
        <w:ind w:right="-926"/>
        <w:rPr>
          <w:i/>
          <w:lang w:val="en-US"/>
        </w:rPr>
      </w:pPr>
      <w:r w:rsidRPr="00521F4C">
        <w:rPr>
          <w:i/>
          <w:lang w:val="en-US"/>
        </w:rPr>
        <w:t xml:space="preserve">Please provide a copy of this Parish Safeguarding Risk Register to the Diocesan </w:t>
      </w:r>
      <w:r w:rsidR="00521F4C" w:rsidRPr="00521F4C">
        <w:rPr>
          <w:i/>
          <w:lang w:val="en-US"/>
        </w:rPr>
        <w:t>Safeguarding</w:t>
      </w:r>
      <w:r w:rsidRPr="00521F4C">
        <w:rPr>
          <w:i/>
          <w:lang w:val="en-US"/>
        </w:rPr>
        <w:t xml:space="preserve"> Ministry Office in</w:t>
      </w:r>
      <w:r w:rsidR="00521F4C" w:rsidRPr="00521F4C">
        <w:rPr>
          <w:i/>
          <w:lang w:val="en-US"/>
        </w:rPr>
        <w:t xml:space="preserve"> </w:t>
      </w:r>
      <w:r w:rsidRPr="00521F4C">
        <w:rPr>
          <w:i/>
          <w:lang w:val="en-US"/>
        </w:rPr>
        <w:t>Toowoomba every 6 months</w:t>
      </w:r>
      <w:r w:rsidR="00521F4C" w:rsidRPr="00521F4C">
        <w:rPr>
          <w:i/>
          <w:lang w:val="en-US"/>
        </w:rPr>
        <w:t>.</w:t>
      </w:r>
    </w:p>
    <w:p w:rsidR="007231A8" w:rsidRDefault="007231A8" w:rsidP="00EB3DC7">
      <w:pPr>
        <w:pStyle w:val="NoSpacing"/>
        <w:ind w:right="-926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7C5DBE" w:rsidRPr="007C5DBE" w:rsidTr="007C5DBE">
        <w:tc>
          <w:tcPr>
            <w:tcW w:w="1549" w:type="dxa"/>
          </w:tcPr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Parish Activity</w:t>
            </w:r>
          </w:p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Or Event</w:t>
            </w:r>
          </w:p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</w:p>
        </w:tc>
        <w:tc>
          <w:tcPr>
            <w:tcW w:w="1549" w:type="dxa"/>
          </w:tcPr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 xml:space="preserve">Date, time and </w:t>
            </w:r>
          </w:p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Location</w:t>
            </w:r>
          </w:p>
        </w:tc>
        <w:tc>
          <w:tcPr>
            <w:tcW w:w="1550" w:type="dxa"/>
          </w:tcPr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 xml:space="preserve">Risks and </w:t>
            </w:r>
          </w:p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Levels</w:t>
            </w:r>
          </w:p>
        </w:tc>
        <w:tc>
          <w:tcPr>
            <w:tcW w:w="1550" w:type="dxa"/>
          </w:tcPr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 xml:space="preserve">Parish </w:t>
            </w:r>
          </w:p>
          <w:p w:rsidR="007C5DBE" w:rsidRPr="007C5DBE" w:rsidRDefault="007C5DBE" w:rsidP="007C5DBE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personnel</w:t>
            </w:r>
          </w:p>
        </w:tc>
        <w:tc>
          <w:tcPr>
            <w:tcW w:w="1550" w:type="dxa"/>
          </w:tcPr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Safeguarding</w:t>
            </w:r>
          </w:p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requirements</w:t>
            </w:r>
          </w:p>
        </w:tc>
        <w:tc>
          <w:tcPr>
            <w:tcW w:w="1550" w:type="dxa"/>
          </w:tcPr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Matters to</w:t>
            </w:r>
          </w:p>
          <w:p w:rsidR="00D85692" w:rsidRDefault="00DB54A7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A</w:t>
            </w:r>
            <w:r w:rsidR="007C5DBE" w:rsidRPr="007C5DBE">
              <w:rPr>
                <w:b/>
                <w:lang w:val="en-US"/>
              </w:rPr>
              <w:t>ddress</w:t>
            </w:r>
            <w:r>
              <w:rPr>
                <w:b/>
                <w:lang w:val="en-US"/>
              </w:rPr>
              <w:t xml:space="preserve"> </w:t>
            </w:r>
          </w:p>
          <w:p w:rsidR="007C5DBE" w:rsidRPr="00DB54A7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Responsible</w:t>
            </w:r>
          </w:p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Person</w:t>
            </w:r>
          </w:p>
        </w:tc>
        <w:tc>
          <w:tcPr>
            <w:tcW w:w="1550" w:type="dxa"/>
          </w:tcPr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Risk</w:t>
            </w:r>
          </w:p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Assessment</w:t>
            </w:r>
          </w:p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Sheet</w:t>
            </w:r>
          </w:p>
        </w:tc>
        <w:tc>
          <w:tcPr>
            <w:tcW w:w="1550" w:type="dxa"/>
          </w:tcPr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 xml:space="preserve">Risk </w:t>
            </w:r>
          </w:p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Management</w:t>
            </w:r>
          </w:p>
          <w:p w:rsidR="007C5DBE" w:rsidRPr="007C5DBE" w:rsidRDefault="007C5DBE" w:rsidP="00EB3DC7">
            <w:pPr>
              <w:pStyle w:val="NoSpacing"/>
              <w:ind w:right="-926"/>
              <w:rPr>
                <w:b/>
                <w:lang w:val="en-US"/>
              </w:rPr>
            </w:pPr>
            <w:r w:rsidRPr="007C5DBE">
              <w:rPr>
                <w:b/>
                <w:lang w:val="en-US"/>
              </w:rPr>
              <w:t>Plan</w:t>
            </w:r>
          </w:p>
        </w:tc>
      </w:tr>
      <w:tr w:rsidR="007C5DBE" w:rsidTr="007C5DBE">
        <w:tc>
          <w:tcPr>
            <w:tcW w:w="1549" w:type="dxa"/>
          </w:tcPr>
          <w:p w:rsidR="007C5DBE" w:rsidRDefault="00E42F2B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 xml:space="preserve">] </w:t>
            </w:r>
            <w:r w:rsidR="007C5DBE">
              <w:rPr>
                <w:lang w:val="en-US"/>
              </w:rPr>
              <w:t xml:space="preserve">Children’s 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Liturgy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Pr="00E42F2B" w:rsidRDefault="00E42F2B" w:rsidP="00EB3DC7">
            <w:pPr>
              <w:pStyle w:val="NoSpacing"/>
              <w:ind w:right="-926"/>
              <w:rPr>
                <w:sz w:val="20"/>
                <w:szCs w:val="20"/>
                <w:lang w:val="en-US"/>
              </w:rPr>
            </w:pPr>
            <w:r w:rsidRPr="00E42F2B">
              <w:rPr>
                <w:i/>
                <w:sz w:val="20"/>
                <w:szCs w:val="20"/>
                <w:lang w:val="en-US"/>
              </w:rPr>
              <w:t>(refer p52, 54</w:t>
            </w:r>
            <w:r w:rsidRPr="00E42F2B">
              <w:rPr>
                <w:sz w:val="20"/>
                <w:szCs w:val="20"/>
                <w:lang w:val="en-US"/>
              </w:rPr>
              <w:t>)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9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Each Sunday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During Mass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 xml:space="preserve">(9am) in the 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Parish Centre</w:t>
            </w: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High (1)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Moderate (3)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Low (3)</w:t>
            </w: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Volunteers (2)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Parents</w:t>
            </w: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Blue Cards o</w:t>
            </w:r>
            <w:r w:rsidR="00097094">
              <w:rPr>
                <w:lang w:val="en-US"/>
              </w:rPr>
              <w:t>r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 xml:space="preserve">Exemption 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Cards for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Volunteers</w:t>
            </w: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Behavio</w:t>
            </w:r>
            <w:r w:rsidR="00036CF3">
              <w:rPr>
                <w:lang w:val="en-US"/>
              </w:rPr>
              <w:t>u</w:t>
            </w:r>
            <w:r>
              <w:rPr>
                <w:lang w:val="en-US"/>
              </w:rPr>
              <w:t>r</w:t>
            </w:r>
            <w:proofErr w:type="spellEnd"/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management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 xml:space="preserve">Adequate 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resources</w:t>
            </w: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Children’s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Liturgy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Co-</w:t>
            </w:r>
            <w:proofErr w:type="spellStart"/>
            <w:r>
              <w:rPr>
                <w:lang w:val="en-US"/>
              </w:rPr>
              <w:t>ordinator</w:t>
            </w:r>
            <w:proofErr w:type="spellEnd"/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Date …</w:t>
            </w: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  <w:r>
              <w:rPr>
                <w:lang w:val="en-US"/>
              </w:rPr>
              <w:t>Date …</w:t>
            </w:r>
          </w:p>
        </w:tc>
      </w:tr>
      <w:tr w:rsidR="007C5DBE" w:rsidTr="007C5DBE">
        <w:tc>
          <w:tcPr>
            <w:tcW w:w="1549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9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</w:tr>
      <w:tr w:rsidR="007C5DBE" w:rsidTr="007C5DBE">
        <w:tc>
          <w:tcPr>
            <w:tcW w:w="1549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9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</w:tr>
      <w:tr w:rsidR="007C5DBE" w:rsidTr="007C5DBE">
        <w:tc>
          <w:tcPr>
            <w:tcW w:w="1549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49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  <w:tc>
          <w:tcPr>
            <w:tcW w:w="1550" w:type="dxa"/>
          </w:tcPr>
          <w:p w:rsidR="007C5DBE" w:rsidRDefault="007C5DBE" w:rsidP="00EB3DC7">
            <w:pPr>
              <w:pStyle w:val="NoSpacing"/>
              <w:ind w:right="-926"/>
              <w:rPr>
                <w:lang w:val="en-US"/>
              </w:rPr>
            </w:pPr>
          </w:p>
        </w:tc>
      </w:tr>
    </w:tbl>
    <w:p w:rsidR="001231F9" w:rsidRPr="00EB3DC7" w:rsidRDefault="001231F9" w:rsidP="00EB3DC7">
      <w:pPr>
        <w:pStyle w:val="NoSpacing"/>
        <w:ind w:right="-926"/>
        <w:rPr>
          <w:lang w:val="en-US"/>
        </w:rPr>
      </w:pPr>
    </w:p>
    <w:sectPr w:rsidR="001231F9" w:rsidRPr="00EB3DC7" w:rsidSect="00EB3D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C7"/>
    <w:rsid w:val="00036CF3"/>
    <w:rsid w:val="00097094"/>
    <w:rsid w:val="000D7906"/>
    <w:rsid w:val="001231F9"/>
    <w:rsid w:val="001506AD"/>
    <w:rsid w:val="002565C1"/>
    <w:rsid w:val="00504D01"/>
    <w:rsid w:val="00521F4C"/>
    <w:rsid w:val="00610C94"/>
    <w:rsid w:val="007231A8"/>
    <w:rsid w:val="0072500B"/>
    <w:rsid w:val="007C5DBE"/>
    <w:rsid w:val="00C75A34"/>
    <w:rsid w:val="00D85692"/>
    <w:rsid w:val="00DA6ACE"/>
    <w:rsid w:val="00DB54A7"/>
    <w:rsid w:val="00E3580D"/>
    <w:rsid w:val="00E42F2B"/>
    <w:rsid w:val="00EB3DC7"/>
    <w:rsid w:val="00F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BDE4"/>
  <w15:chartTrackingRefBased/>
  <w15:docId w15:val="{0C120AC3-058A-43B7-BF03-DC24A58A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DC7"/>
    <w:pPr>
      <w:spacing w:after="0" w:line="240" w:lineRule="auto"/>
    </w:pPr>
  </w:style>
  <w:style w:type="table" w:styleId="TableGrid">
    <w:name w:val="Table Grid"/>
    <w:basedOn w:val="TableNormal"/>
    <w:uiPriority w:val="39"/>
    <w:rsid w:val="0061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Keryk</dc:creator>
  <cp:keywords/>
  <dc:description/>
  <cp:lastModifiedBy>George Keryk</cp:lastModifiedBy>
  <cp:revision>9</cp:revision>
  <cp:lastPrinted>2023-04-13T08:13:00Z</cp:lastPrinted>
  <dcterms:created xsi:type="dcterms:W3CDTF">2023-04-13T06:40:00Z</dcterms:created>
  <dcterms:modified xsi:type="dcterms:W3CDTF">2023-04-23T05:11:00Z</dcterms:modified>
</cp:coreProperties>
</file>